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713" w:right="0" w:firstLine="0"/>
        <w:rPr/>
      </w:pPr>
      <w:r w:rsidDel="00000000" w:rsidR="00000000" w:rsidRPr="00000000">
        <w:rPr/>
        <w:drawing>
          <wp:inline distB="0" distT="0" distL="0" distR="0">
            <wp:extent cx="1228725" cy="1219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720" w:right="0" w:hanging="720"/>
        <w:rPr>
          <w:sz w:val="22"/>
          <w:szCs w:val="22"/>
        </w:rPr>
      </w:pPr>
      <w:r w:rsidDel="00000000" w:rsidR="00000000" w:rsidRPr="00000000">
        <w:rPr>
          <w:rFonts w:ascii="The Hand Black" w:cs="The Hand Black" w:eastAsia="The Hand Black" w:hAnsi="The Hand Black"/>
          <w:sz w:val="28"/>
          <w:szCs w:val="28"/>
          <w:rtl w:val="0"/>
        </w:rPr>
        <w:t xml:space="preserve">                   </w:t>
      </w:r>
      <w:r w:rsidDel="00000000" w:rsidR="00000000" w:rsidRPr="00000000">
        <w:rPr>
          <w:sz w:val="22"/>
          <w:szCs w:val="22"/>
          <w:rtl w:val="0"/>
        </w:rPr>
        <w:t xml:space="preserve">Teacher:  Mrs. Prihoda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40"/>
        <w:tblGridChange w:id="0">
          <w:tblGrid>
            <w:gridCol w:w="4440"/>
            <w:gridCol w:w="4440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Grade Science</w:t>
            </w:r>
          </w:p>
          <w:p w:rsidR="00000000" w:rsidDel="00000000" w:rsidP="00000000" w:rsidRDefault="00000000" w:rsidRPr="00000000" w14:paraId="00000004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6 Weeks – Week 4</w:t>
            </w:r>
          </w:p>
          <w:p w:rsidR="00000000" w:rsidDel="00000000" w:rsidP="00000000" w:rsidRDefault="00000000" w:rsidRPr="00000000" w14:paraId="00000005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October 14 –October 18, 2024</w:t>
            </w:r>
          </w:p>
          <w:p w:rsidR="00000000" w:rsidDel="00000000" w:rsidP="00000000" w:rsidRDefault="00000000" w:rsidRPr="00000000" w14:paraId="00000006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Monday </w:t>
              <w:tab/>
              <w:t xml:space="preserve">10/14/24</w:t>
            </w:r>
          </w:p>
          <w:p w:rsidR="00000000" w:rsidDel="00000000" w:rsidP="00000000" w:rsidRDefault="00000000" w:rsidRPr="00000000" w14:paraId="00000009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Tuesday </w:t>
              <w:tab/>
              <w:t xml:space="preserve">10/15/24</w:t>
            </w:r>
          </w:p>
        </w:tc>
      </w:tr>
      <w:tr>
        <w:trPr>
          <w:cantSplit w:val="0"/>
          <w:trHeight w:val="57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6.6E “Formation of a New Substance”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identify the formation of a new substance by the production of a gas. </w:t>
            </w:r>
          </w:p>
          <w:p w:rsidR="00000000" w:rsidDel="00000000" w:rsidP="00000000" w:rsidRDefault="00000000" w:rsidRPr="00000000" w14:paraId="0000000E">
            <w:pPr>
              <w:shd w:fill="ffffff" w:val="clear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identify the formation of a new substance by a change in thermal energy. </w:t>
            </w:r>
          </w:p>
          <w:p w:rsidR="00000000" w:rsidDel="00000000" w:rsidP="00000000" w:rsidRDefault="00000000" w:rsidRPr="00000000" w14:paraId="0000000F">
            <w:pPr>
              <w:shd w:fill="ffffff" w:val="clear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identify the formation of a new substance by the production of a precipitate. </w:t>
            </w:r>
          </w:p>
          <w:p w:rsidR="00000000" w:rsidDel="00000000" w:rsidP="00000000" w:rsidRDefault="00000000" w:rsidRPr="00000000" w14:paraId="00000010">
            <w:pPr>
              <w:shd w:fill="ffffff" w:val="clear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identify the formation of a new substance by a color change. </w:t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use evidence to identify a possible chemical change. </w:t>
            </w:r>
          </w:p>
          <w:p w:rsidR="00000000" w:rsidDel="00000000" w:rsidP="00000000" w:rsidRDefault="00000000" w:rsidRPr="00000000" w14:paraId="00000012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Warm Up - Day 1 “Density” – Grade Friday</w:t>
            </w:r>
          </w:p>
          <w:p w:rsidR="00000000" w:rsidDel="00000000" w:rsidP="00000000" w:rsidRDefault="00000000" w:rsidRPr="00000000" w14:paraId="00000014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-Pre Assessment: “Formation of a New Substance”</w:t>
            </w:r>
          </w:p>
          <w:p w:rsidR="00000000" w:rsidDel="00000000" w:rsidP="00000000" w:rsidRDefault="00000000" w:rsidRPr="00000000" w14:paraId="00000015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-Background Knowledge / Terms to Know Voc.</w:t>
            </w:r>
          </w:p>
          <w:p w:rsidR="00000000" w:rsidDel="00000000" w:rsidP="00000000" w:rsidRDefault="00000000" w:rsidRPr="00000000" w14:paraId="00000016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-Voc. Quiz: Friday - Grade</w:t>
            </w:r>
          </w:p>
          <w:p w:rsidR="00000000" w:rsidDel="00000000" w:rsidP="00000000" w:rsidRDefault="00000000" w:rsidRPr="00000000" w14:paraId="00000017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-Student Notebook: Pg. 83 “Fall Colors”</w:t>
            </w:r>
          </w:p>
          <w:p w:rsidR="00000000" w:rsidDel="00000000" w:rsidP="00000000" w:rsidRDefault="00000000" w:rsidRPr="00000000" w14:paraId="00000018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and Pg. 85</w:t>
            </w:r>
          </w:p>
          <w:p w:rsidR="00000000" w:rsidDel="00000000" w:rsidP="00000000" w:rsidRDefault="00000000" w:rsidRPr="00000000" w14:paraId="00000019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-STEMscopedia (hardcover book) Read Pgs. 63-74</w:t>
            </w:r>
          </w:p>
          <w:p w:rsidR="00000000" w:rsidDel="00000000" w:rsidP="00000000" w:rsidRDefault="00000000" w:rsidRPr="00000000" w14:paraId="0000001A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Complete Questions on paper hand 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copy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of page 75.  Tear out page 99 of student notebook, use the pages read to answer the questions (stapled the pages together and turn in) - Grade </w:t>
            </w:r>
          </w:p>
          <w:p w:rsidR="00000000" w:rsidDel="00000000" w:rsidP="00000000" w:rsidRDefault="00000000" w:rsidRPr="00000000" w14:paraId="0000001B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6.6E “Formation of a New Substance”</w:t>
            </w:r>
          </w:p>
          <w:p w:rsidR="00000000" w:rsidDel="00000000" w:rsidP="00000000" w:rsidRDefault="00000000" w:rsidRPr="00000000" w14:paraId="00000026">
            <w:pPr>
              <w:ind w:left="0" w:firstLine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 </w:t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identify the formation of a new substance by the production of a gas. </w:t>
            </w:r>
          </w:p>
          <w:p w:rsidR="00000000" w:rsidDel="00000000" w:rsidP="00000000" w:rsidRDefault="00000000" w:rsidRPr="00000000" w14:paraId="00000028">
            <w:pPr>
              <w:shd w:fill="ffffff" w:val="clear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identify the formation of a new substance by a change in thermal energy. </w:t>
            </w:r>
          </w:p>
          <w:p w:rsidR="00000000" w:rsidDel="00000000" w:rsidP="00000000" w:rsidRDefault="00000000" w:rsidRPr="00000000" w14:paraId="00000029">
            <w:pPr>
              <w:shd w:fill="ffffff" w:val="clear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identify the formation of a new substance by the production of a precipitate. </w:t>
            </w:r>
          </w:p>
          <w:p w:rsidR="00000000" w:rsidDel="00000000" w:rsidP="00000000" w:rsidRDefault="00000000" w:rsidRPr="00000000" w14:paraId="0000002A">
            <w:pPr>
              <w:shd w:fill="ffffff" w:val="clear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identify the formation of a new substance by a color change. </w:t>
            </w:r>
          </w:p>
          <w:p w:rsidR="00000000" w:rsidDel="00000000" w:rsidP="00000000" w:rsidRDefault="00000000" w:rsidRPr="00000000" w14:paraId="0000002B">
            <w:pPr>
              <w:shd w:fill="ffffff" w:val="clear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use evidence to identify a possible chemical change. </w:t>
            </w:r>
          </w:p>
          <w:p w:rsidR="00000000" w:rsidDel="00000000" w:rsidP="00000000" w:rsidRDefault="00000000" w:rsidRPr="00000000" w14:paraId="0000002C">
            <w:pPr>
              <w:shd w:fill="ffffff" w:val="clear"/>
              <w:ind w:left="0" w:firstLine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 </w:t>
            </w:r>
          </w:p>
          <w:p w:rsidR="00000000" w:rsidDel="00000000" w:rsidP="00000000" w:rsidRDefault="00000000" w:rsidRPr="00000000" w14:paraId="0000002D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Warm Up - Day 2 “Density” – Grade</w:t>
            </w:r>
          </w:p>
          <w:p w:rsidR="00000000" w:rsidDel="00000000" w:rsidP="00000000" w:rsidRDefault="00000000" w:rsidRPr="00000000" w14:paraId="0000002E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-Con’t:    STEMscopedia (hardcover book) Read Pgs. 63-74. Complete Questions on handout 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copy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of page 75.  Tear out page 99 of student notebook use the pages read to also answer those questions (stapled the pages together and turn in) - Grade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Wednesday </w:t>
              <w:tab/>
              <w:t xml:space="preserve">10/16/24</w:t>
            </w:r>
          </w:p>
          <w:p w:rsidR="00000000" w:rsidDel="00000000" w:rsidP="00000000" w:rsidRDefault="00000000" w:rsidRPr="00000000" w14:paraId="00000030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Thursday </w:t>
              <w:tab/>
              <w:t xml:space="preserve">10/17/24</w:t>
            </w:r>
          </w:p>
        </w:tc>
      </w:tr>
      <w:tr>
        <w:trPr>
          <w:cantSplit w:val="0"/>
          <w:trHeight w:val="57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6.6E “Formation of a New Substance”</w:t>
            </w:r>
          </w:p>
          <w:p w:rsidR="00000000" w:rsidDel="00000000" w:rsidP="00000000" w:rsidRDefault="00000000" w:rsidRPr="00000000" w14:paraId="00000033">
            <w:pPr>
              <w:ind w:left="0" w:firstLine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</w:p>
          <w:p w:rsidR="00000000" w:rsidDel="00000000" w:rsidP="00000000" w:rsidRDefault="00000000" w:rsidRPr="00000000" w14:paraId="00000034">
            <w:pPr>
              <w:shd w:fill="ffffff" w:val="clear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identify the formation of a new substance by the production of a gas. </w:t>
            </w:r>
          </w:p>
          <w:p w:rsidR="00000000" w:rsidDel="00000000" w:rsidP="00000000" w:rsidRDefault="00000000" w:rsidRPr="00000000" w14:paraId="00000035">
            <w:pPr>
              <w:shd w:fill="ffffff" w:val="clear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identify the formation of a new substance by a change in thermal energy. </w:t>
            </w:r>
          </w:p>
          <w:p w:rsidR="00000000" w:rsidDel="00000000" w:rsidP="00000000" w:rsidRDefault="00000000" w:rsidRPr="00000000" w14:paraId="00000036">
            <w:pPr>
              <w:shd w:fill="ffffff" w:val="clear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identify the formation of a new substance by the production of a precipitate. </w:t>
            </w:r>
          </w:p>
          <w:p w:rsidR="00000000" w:rsidDel="00000000" w:rsidP="00000000" w:rsidRDefault="00000000" w:rsidRPr="00000000" w14:paraId="00000037">
            <w:pPr>
              <w:shd w:fill="ffffff" w:val="clear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identify the formation of a new substance by a color change. </w:t>
            </w:r>
          </w:p>
          <w:p w:rsidR="00000000" w:rsidDel="00000000" w:rsidP="00000000" w:rsidRDefault="00000000" w:rsidRPr="00000000" w14:paraId="00000038">
            <w:pPr>
              <w:shd w:fill="ffffff" w:val="clear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use evidence to identify a possible chemical change. </w:t>
            </w:r>
          </w:p>
          <w:p w:rsidR="00000000" w:rsidDel="00000000" w:rsidP="00000000" w:rsidRDefault="00000000" w:rsidRPr="00000000" w14:paraId="00000039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Warm Up - Day 3 “Density” – Grade</w:t>
            </w:r>
          </w:p>
          <w:p w:rsidR="00000000" w:rsidDel="00000000" w:rsidP="00000000" w:rsidRDefault="00000000" w:rsidRPr="00000000" w14:paraId="0000003B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-Explain: Content Connection</w:t>
            </w:r>
          </w:p>
          <w:p w:rsidR="00000000" w:rsidDel="00000000" w:rsidP="00000000" w:rsidRDefault="00000000" w:rsidRPr="00000000" w14:paraId="0000003C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-Reading Science: “Energy Transfer and Bungee Jumping”</w:t>
            </w:r>
          </w:p>
          <w:p w:rsidR="00000000" w:rsidDel="00000000" w:rsidP="00000000" w:rsidRDefault="00000000" w:rsidRPr="00000000" w14:paraId="0000003D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-Virtual Explore: “The Evidence is Clear”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6.6E “Formation of a New Substance”</w:t>
            </w:r>
          </w:p>
          <w:p w:rsidR="00000000" w:rsidDel="00000000" w:rsidP="00000000" w:rsidRDefault="00000000" w:rsidRPr="00000000" w14:paraId="0000003F">
            <w:pPr>
              <w:ind w:left="0" w:firstLine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</w:p>
          <w:p w:rsidR="00000000" w:rsidDel="00000000" w:rsidP="00000000" w:rsidRDefault="00000000" w:rsidRPr="00000000" w14:paraId="00000040">
            <w:pPr>
              <w:shd w:fill="ffffff" w:val="clear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identify the formation of a new substance by the production of a gas. </w:t>
            </w:r>
          </w:p>
          <w:p w:rsidR="00000000" w:rsidDel="00000000" w:rsidP="00000000" w:rsidRDefault="00000000" w:rsidRPr="00000000" w14:paraId="00000041">
            <w:pPr>
              <w:shd w:fill="ffffff" w:val="clear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identify the formation of a new substance by a change in thermal energy. </w:t>
            </w:r>
          </w:p>
          <w:p w:rsidR="00000000" w:rsidDel="00000000" w:rsidP="00000000" w:rsidRDefault="00000000" w:rsidRPr="00000000" w14:paraId="00000042">
            <w:pPr>
              <w:shd w:fill="ffffff" w:val="clear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identify the formation of a new substance by the production of a precipitate. </w:t>
            </w:r>
          </w:p>
          <w:p w:rsidR="00000000" w:rsidDel="00000000" w:rsidP="00000000" w:rsidRDefault="00000000" w:rsidRPr="00000000" w14:paraId="00000043">
            <w:pPr>
              <w:shd w:fill="ffffff" w:val="clear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identify the formation of a new substance by a color change. </w:t>
            </w:r>
          </w:p>
          <w:p w:rsidR="00000000" w:rsidDel="00000000" w:rsidP="00000000" w:rsidRDefault="00000000" w:rsidRPr="00000000" w14:paraId="00000044">
            <w:pPr>
              <w:shd w:fill="ffffff" w:val="clear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use evidence to identify a possible chemical change. </w:t>
            </w:r>
          </w:p>
          <w:p w:rsidR="00000000" w:rsidDel="00000000" w:rsidP="00000000" w:rsidRDefault="00000000" w:rsidRPr="00000000" w14:paraId="00000045">
            <w:pPr>
              <w:shd w:fill="ffffff" w:val="clear"/>
              <w:ind w:left="0" w:firstLine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 </w:t>
            </w:r>
          </w:p>
          <w:p w:rsidR="00000000" w:rsidDel="00000000" w:rsidP="00000000" w:rsidRDefault="00000000" w:rsidRPr="00000000" w14:paraId="00000046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Warm Up - Day 4 “Density” – Grade</w:t>
            </w:r>
          </w:p>
          <w:p w:rsidR="00000000" w:rsidDel="00000000" w:rsidP="00000000" w:rsidRDefault="00000000" w:rsidRPr="00000000" w14:paraId="00000047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-Con’t - Virtual Explore: “The Evidence is Clear”</w:t>
            </w:r>
          </w:p>
          <w:p w:rsidR="00000000" w:rsidDel="00000000" w:rsidP="00000000" w:rsidRDefault="00000000" w:rsidRPr="00000000" w14:paraId="00000048">
            <w:pPr>
              <w:shd w:fill="ffffff" w:val="clear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Friday </w:t>
              <w:tab/>
              <w:t xml:space="preserve">10/18/24</w:t>
            </w:r>
          </w:p>
          <w:p w:rsidR="00000000" w:rsidDel="00000000" w:rsidP="00000000" w:rsidRDefault="00000000" w:rsidRPr="00000000" w14:paraId="0000004B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4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6.6E “Formation of a New Substance”</w:t>
            </w:r>
          </w:p>
          <w:p w:rsidR="00000000" w:rsidDel="00000000" w:rsidP="00000000" w:rsidRDefault="00000000" w:rsidRPr="00000000" w14:paraId="0000004E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shd w:fill="ffffff" w:val="clear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identify the formation of a new substance by the production of a gas. </w:t>
            </w:r>
          </w:p>
          <w:p w:rsidR="00000000" w:rsidDel="00000000" w:rsidP="00000000" w:rsidRDefault="00000000" w:rsidRPr="00000000" w14:paraId="00000050">
            <w:pPr>
              <w:shd w:fill="ffffff" w:val="clear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identify the formation of a new substance by a change in thermal energy. </w:t>
            </w:r>
          </w:p>
          <w:p w:rsidR="00000000" w:rsidDel="00000000" w:rsidP="00000000" w:rsidRDefault="00000000" w:rsidRPr="00000000" w14:paraId="00000051">
            <w:pPr>
              <w:shd w:fill="ffffff" w:val="clear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identify the formation of a new substance by the production of a precipitate. </w:t>
            </w:r>
          </w:p>
          <w:p w:rsidR="00000000" w:rsidDel="00000000" w:rsidP="00000000" w:rsidRDefault="00000000" w:rsidRPr="00000000" w14:paraId="00000052">
            <w:pPr>
              <w:shd w:fill="ffffff" w:val="clear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identify the formation of a new substance by a color change. </w:t>
            </w:r>
          </w:p>
          <w:p w:rsidR="00000000" w:rsidDel="00000000" w:rsidP="00000000" w:rsidRDefault="00000000" w:rsidRPr="00000000" w14:paraId="00000053">
            <w:pPr>
              <w:shd w:fill="ffffff" w:val="clear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use evidence to identify a possible chemical change. </w:t>
            </w:r>
          </w:p>
          <w:p w:rsidR="00000000" w:rsidDel="00000000" w:rsidP="00000000" w:rsidRDefault="00000000" w:rsidRPr="00000000" w14:paraId="00000054">
            <w:pPr>
              <w:shd w:fill="ffffff" w:val="clear"/>
              <w:ind w:left="0" w:firstLine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 </w:t>
            </w:r>
          </w:p>
          <w:p w:rsidR="00000000" w:rsidDel="00000000" w:rsidP="00000000" w:rsidRDefault="00000000" w:rsidRPr="00000000" w14:paraId="00000055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Warm Up - Day 5 “Density” – Grade</w:t>
            </w:r>
          </w:p>
          <w:p w:rsidR="00000000" w:rsidDel="00000000" w:rsidP="00000000" w:rsidRDefault="00000000" w:rsidRPr="00000000" w14:paraId="00000056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-Voc. Quiz: Friday - Grade</w:t>
            </w:r>
          </w:p>
          <w:p w:rsidR="00000000" w:rsidDel="00000000" w:rsidP="00000000" w:rsidRDefault="00000000" w:rsidRPr="00000000" w14:paraId="00000057">
            <w:pPr>
              <w:shd w:fill="ffffff" w:val="clear"/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-Blooket Review: “Formation of a New Substance”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B">
      <w:pPr>
        <w:ind w:left="-720" w:right="0" w:hanging="720"/>
        <w:rPr>
          <w:rFonts w:ascii="The Hand Black" w:cs="The Hand Black" w:eastAsia="The Hand Black" w:hAnsi="The Hand Black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337" w:top="606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he Hand Bl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b w:val="1"/>
        <w:sz w:val="40"/>
        <w:szCs w:val="40"/>
        <w:lang w:val="en-US"/>
      </w:rPr>
    </w:rPrDefault>
    <w:pPrDefault>
      <w:pPr>
        <w:spacing w:line="259" w:lineRule="auto"/>
        <w:ind w:left="-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1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