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October 14-18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Review of Inventory Spreadsheet skills (IF Functions and % Totals)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all concepts involved with creating an inventory spreadsheet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after="0" w:afterAutospacing="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Review of Inventory Spreadsheet skills (IF Functions and % Totals)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all concepts involved with creating an inventory spreadsheet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Spreadsheet Test 2: Inventory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inventory spreadsheet without help.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Charting Notes using PPT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Charting Practice worksheet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needed to create charts in Excel.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Charting Practice 2 worksheet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create their own Charts within an Excel spreadsheet and be able to manipulate the chart.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i8l+kTWtLmhLKMAQN5aHOkoag==">CgMxLjA4AHIhMWRGQ2M2VWhPS1MtOUVISk5ZSG5UUVM0aEJYUzRhenFK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