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F" w:rsidRDefault="003C51FF" w:rsidP="003C51FF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4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 w:rsidR="009E79FB">
        <w:rPr>
          <w:rFonts w:ascii="Century Gothic" w:hAnsi="Century Gothic"/>
          <w:sz w:val="56"/>
          <w:szCs w:val="56"/>
        </w:rPr>
        <w:t xml:space="preserve"> Six Weeks</w:t>
      </w:r>
      <w:r w:rsidR="009E79FB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C51FF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1/8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1/9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1/10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1/11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1/12</w:t>
            </w:r>
          </w:p>
        </w:tc>
      </w:tr>
      <w:tr w:rsidR="003C51FF" w:rsidRPr="00346586" w:rsidTr="009E79FB">
        <w:trPr>
          <w:trHeight w:val="1727"/>
        </w:trPr>
        <w:tc>
          <w:tcPr>
            <w:tcW w:w="2158" w:type="dxa"/>
          </w:tcPr>
          <w:p w:rsidR="009E79FB" w:rsidRDefault="009E79FB" w:rsidP="009E79FB">
            <w:pPr>
              <w:pStyle w:val="NoSpacing"/>
              <w:jc w:val="center"/>
              <w:rPr>
                <w:b/>
              </w:rPr>
            </w:pPr>
          </w:p>
          <w:p w:rsidR="009E79FB" w:rsidRPr="00097D2F" w:rsidRDefault="009E79FB" w:rsidP="009E79FB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3C51FF" w:rsidRPr="00346586" w:rsidRDefault="009E79FB" w:rsidP="009E79FB">
            <w:pPr>
              <w:pStyle w:val="NoSpacing"/>
              <w:jc w:val="center"/>
            </w:pPr>
            <w:r w:rsidRPr="00097D2F">
              <w:rPr>
                <w:b/>
              </w:rPr>
              <w:t>Student Holiday</w:t>
            </w:r>
            <w:r w:rsidR="003C51FF" w:rsidRPr="00346586">
              <w:t xml:space="preserve"> </w:t>
            </w:r>
          </w:p>
        </w:tc>
        <w:tc>
          <w:tcPr>
            <w:tcW w:w="2158" w:type="dxa"/>
          </w:tcPr>
          <w:p w:rsidR="00745855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0A9" w:rsidRDefault="003C50A9" w:rsidP="00745855">
            <w:pPr>
              <w:jc w:val="center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745855" w:rsidRDefault="00745855" w:rsidP="00745855">
            <w:pPr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  <w:jc w:val="center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  <w:jc w:val="center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  <w:jc w:val="center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  <w:p w:rsidR="00745855" w:rsidRDefault="00745855" w:rsidP="00745855">
            <w:pPr>
              <w:pStyle w:val="NoSpacing"/>
              <w:jc w:val="center"/>
            </w:pP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Fact Fluency +/- 10</w:t>
            </w:r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1/15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1/16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1/17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1/18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1/19</w:t>
            </w:r>
          </w:p>
        </w:tc>
      </w:tr>
      <w:tr w:rsidR="003C51FF" w:rsidRPr="00346586" w:rsidTr="009E79FB">
        <w:trPr>
          <w:trHeight w:val="1961"/>
        </w:trPr>
        <w:tc>
          <w:tcPr>
            <w:tcW w:w="2158" w:type="dxa"/>
          </w:tcPr>
          <w:p w:rsidR="003C51FF" w:rsidRDefault="003C51FF" w:rsidP="00D711CB">
            <w:pPr>
              <w:pStyle w:val="NoSpacing"/>
            </w:pPr>
          </w:p>
          <w:p w:rsidR="009E79FB" w:rsidRPr="00097D2F" w:rsidRDefault="009E79FB" w:rsidP="009E79FB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MLK Day Holiday</w:t>
            </w:r>
          </w:p>
          <w:p w:rsidR="009E79FB" w:rsidRPr="00346586" w:rsidRDefault="009E79FB" w:rsidP="009E79F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1/22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1/23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1/24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1/25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1/26</w:t>
            </w:r>
          </w:p>
        </w:tc>
      </w:tr>
      <w:tr w:rsidR="003C51FF" w:rsidRPr="00346586" w:rsidTr="009E79FB">
        <w:trPr>
          <w:trHeight w:val="1952"/>
        </w:trPr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  <w:jc w:val="center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Pr="00346586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0A9" w:rsidRDefault="003C50A9" w:rsidP="003C50A9">
            <w:r>
              <w:t xml:space="preserve">MOY Math </w:t>
            </w:r>
            <w:proofErr w:type="spellStart"/>
            <w:r>
              <w:t>Mclass</w:t>
            </w:r>
            <w:proofErr w:type="spellEnd"/>
          </w:p>
          <w:p w:rsidR="003C51FF" w:rsidRDefault="003C51FF" w:rsidP="00D711CB">
            <w:pPr>
              <w:pStyle w:val="NoSpacing"/>
            </w:pPr>
          </w:p>
          <w:p w:rsidR="00745855" w:rsidRDefault="00745855" w:rsidP="00745855">
            <w:pPr>
              <w:jc w:val="center"/>
            </w:pPr>
            <w:r>
              <w:t>Unit 6</w:t>
            </w:r>
          </w:p>
          <w:p w:rsidR="00745855" w:rsidRDefault="00745855" w:rsidP="00745855">
            <w:pPr>
              <w:pStyle w:val="NoSpacing"/>
              <w:jc w:val="center"/>
            </w:pPr>
            <w:r>
              <w:t>Foundations of Numbers up to 99</w:t>
            </w:r>
          </w:p>
          <w:p w:rsidR="00A3354B" w:rsidRPr="00346586" w:rsidRDefault="00A3354B" w:rsidP="00745855">
            <w:pPr>
              <w:pStyle w:val="NoSpacing"/>
              <w:jc w:val="center"/>
            </w:pPr>
            <w:r>
              <w:t>Fact Fluency Assessment</w:t>
            </w:r>
            <w:bookmarkStart w:id="0" w:name="_GoBack"/>
            <w:bookmarkEnd w:id="0"/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 xml:space="preserve">1/29 </w:t>
            </w:r>
            <w:r w:rsidRPr="009E79FB">
              <w:rPr>
                <w:sz w:val="20"/>
                <w:szCs w:val="20"/>
              </w:rPr>
              <w:t>Progress Reports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1/30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1/31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2/2</w:t>
            </w:r>
          </w:p>
        </w:tc>
      </w:tr>
      <w:tr w:rsidR="003C51FF" w:rsidRPr="00346586" w:rsidTr="009E79FB">
        <w:trPr>
          <w:trHeight w:val="1871"/>
        </w:trPr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jc w:val="center"/>
            </w:pPr>
            <w:r>
              <w:t>Unit 6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jc w:val="center"/>
            </w:pPr>
            <w:r>
              <w:t>Unit 6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Foundations of Numbers up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jc w:val="center"/>
            </w:pPr>
            <w:r>
              <w:t>Unit 6</w:t>
            </w:r>
          </w:p>
          <w:p w:rsidR="003C50A9" w:rsidRPr="0004711C" w:rsidRDefault="003C50A9" w:rsidP="003C50A9">
            <w:pPr>
              <w:pStyle w:val="NoSpacing"/>
              <w:jc w:val="center"/>
            </w:pPr>
            <w:r>
              <w:t>Review and Assessment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444B40" w:rsidRDefault="00444B40" w:rsidP="00D711CB">
            <w:pPr>
              <w:pStyle w:val="NoSpacing"/>
              <w:jc w:val="center"/>
            </w:pPr>
            <w:r>
              <w:t xml:space="preserve">Unit 7 </w:t>
            </w:r>
          </w:p>
          <w:p w:rsidR="00444B40" w:rsidRPr="00346586" w:rsidRDefault="00444B40" w:rsidP="00D711CB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444B40" w:rsidRDefault="00444B40" w:rsidP="00444B40">
            <w:pPr>
              <w:pStyle w:val="NoSpacing"/>
              <w:jc w:val="center"/>
            </w:pPr>
            <w:r>
              <w:t xml:space="preserve">Unit 7 </w:t>
            </w:r>
          </w:p>
          <w:p w:rsidR="00444B40" w:rsidRPr="00346586" w:rsidRDefault="00444B40" w:rsidP="00444B40">
            <w:pPr>
              <w:pStyle w:val="NoSpacing"/>
              <w:jc w:val="center"/>
            </w:pPr>
            <w:r>
              <w:t>Number Relationships to 99</w:t>
            </w:r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2/5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2/6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2/7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2/8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2/9</w:t>
            </w:r>
          </w:p>
        </w:tc>
      </w:tr>
      <w:tr w:rsidR="003C51FF" w:rsidRPr="00346586" w:rsidTr="009E79FB">
        <w:trPr>
          <w:trHeight w:val="1871"/>
        </w:trPr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743553" w:rsidRDefault="003C50A9" w:rsidP="003C50A9">
            <w:pPr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</w:tr>
      <w:tr w:rsidR="003C51FF" w:rsidRPr="00346586" w:rsidTr="00A3354B"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2/12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2/13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2/14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2/15</w:t>
            </w:r>
          </w:p>
        </w:tc>
        <w:tc>
          <w:tcPr>
            <w:tcW w:w="2158" w:type="dxa"/>
            <w:shd w:val="clear" w:color="auto" w:fill="FFFF00"/>
          </w:tcPr>
          <w:p w:rsidR="003C51FF" w:rsidRPr="00346586" w:rsidRDefault="009E79FB" w:rsidP="00D711CB">
            <w:pPr>
              <w:pStyle w:val="NoSpacing"/>
            </w:pPr>
            <w:r>
              <w:t>2/16</w:t>
            </w:r>
          </w:p>
        </w:tc>
      </w:tr>
      <w:tr w:rsidR="003C51FF" w:rsidRPr="00346586" w:rsidTr="009E79FB">
        <w:trPr>
          <w:trHeight w:val="1880"/>
        </w:trPr>
        <w:tc>
          <w:tcPr>
            <w:tcW w:w="2158" w:type="dxa"/>
          </w:tcPr>
          <w:p w:rsidR="003C51FF" w:rsidRDefault="003C51FF" w:rsidP="00D711CB">
            <w:pPr>
              <w:pStyle w:val="NoSpacing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>Unit 7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0A9" w:rsidP="00D711C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Valentine’s Program</w:t>
            </w: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BF24C8" w:rsidRDefault="003C50A9" w:rsidP="003C50A9">
            <w:pPr>
              <w:pStyle w:val="NoSpacing"/>
              <w:jc w:val="center"/>
              <w:rPr>
                <w:sz w:val="20"/>
              </w:rPr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>Unit 7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Review</w:t>
            </w:r>
          </w:p>
        </w:tc>
        <w:tc>
          <w:tcPr>
            <w:tcW w:w="2158" w:type="dxa"/>
          </w:tcPr>
          <w:p w:rsidR="00A3354B" w:rsidRDefault="00A3354B" w:rsidP="003C50A9">
            <w:pPr>
              <w:pStyle w:val="NoSpacing"/>
              <w:jc w:val="center"/>
            </w:pPr>
          </w:p>
          <w:p w:rsidR="003C50A9" w:rsidRDefault="003C50A9" w:rsidP="003C50A9">
            <w:pPr>
              <w:pStyle w:val="NoSpacing"/>
              <w:jc w:val="center"/>
            </w:pPr>
            <w:r>
              <w:t xml:space="preserve">Unit 7 </w:t>
            </w:r>
          </w:p>
          <w:p w:rsidR="003C51FF" w:rsidRDefault="003C50A9" w:rsidP="003C50A9">
            <w:pPr>
              <w:pStyle w:val="NoSpacing"/>
              <w:jc w:val="center"/>
            </w:pPr>
            <w:r>
              <w:t>Number Relationships to 99</w:t>
            </w:r>
          </w:p>
          <w:p w:rsidR="003C50A9" w:rsidRPr="00346586" w:rsidRDefault="003C50A9" w:rsidP="003C50A9">
            <w:pPr>
              <w:pStyle w:val="NoSpacing"/>
              <w:jc w:val="center"/>
            </w:pPr>
            <w:r>
              <w:t>Assessment</w:t>
            </w:r>
          </w:p>
        </w:tc>
      </w:tr>
    </w:tbl>
    <w:p w:rsidR="00E1310A" w:rsidRDefault="00E1310A"/>
    <w:sectPr w:rsidR="00E1310A" w:rsidSect="003C5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FF"/>
    <w:rsid w:val="003C50A9"/>
    <w:rsid w:val="003C51FF"/>
    <w:rsid w:val="00444B40"/>
    <w:rsid w:val="00745855"/>
    <w:rsid w:val="009E79FB"/>
    <w:rsid w:val="00A3354B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65CD"/>
  <w15:chartTrackingRefBased/>
  <w15:docId w15:val="{81340799-268C-4E91-8A14-2DDDE914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FF"/>
    <w:pPr>
      <w:spacing w:after="0" w:line="240" w:lineRule="auto"/>
    </w:pPr>
  </w:style>
  <w:style w:type="table" w:styleId="TableGrid">
    <w:name w:val="Table Grid"/>
    <w:basedOn w:val="TableNormal"/>
    <w:uiPriority w:val="39"/>
    <w:rsid w:val="003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cp:lastPrinted>2022-08-05T14:53:00Z</cp:lastPrinted>
  <dcterms:created xsi:type="dcterms:W3CDTF">2024-01-08T16:05:00Z</dcterms:created>
  <dcterms:modified xsi:type="dcterms:W3CDTF">2024-01-08T16:05:00Z</dcterms:modified>
</cp:coreProperties>
</file>