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13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November 3-7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expository, persuasive, and procedural writing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TTW...complete an introduction to the Travel Brochures Project. Students will draw their travel destinations at random. </w:t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expository, persuasive, and procedural writing</w:t>
            </w:r>
          </w:p>
          <w:p w:rsidR="00000000" w:rsidDel="00000000" w:rsidP="00000000" w:rsidRDefault="00000000" w:rsidRPr="00000000" w14:paraId="0000001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TSW...edit and revise their travel destination brochure.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expository, persuasive, and procedural writing</w:t>
            </w:r>
          </w:p>
          <w:p w:rsidR="00000000" w:rsidDel="00000000" w:rsidP="00000000" w:rsidRDefault="00000000" w:rsidRPr="00000000" w14:paraId="0000002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TSW...begin to research their travel destination for the brochure.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expository, persuasive, and procedural writing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color w:val="404040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present their brochures and submit for a major grade.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expository, persuasive, and procedural writing</w:t>
            </w:r>
          </w:p>
          <w:p w:rsidR="00000000" w:rsidDel="00000000" w:rsidP="00000000" w:rsidRDefault="00000000" w:rsidRPr="00000000" w14:paraId="0000003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TSW...begin writing/creating their travel destination brochure.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SPjnuYmuMBDDFgRHySq/fwkpg==">CgMxLjAyDmguZzM4b29kbzZlMWg5OAByITF5bENQVkJIWkpoRFhOYWZGNGE0eWIxSl80Z19oM21WXw==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