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August 1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-1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MEET THE TEACHER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B1, C10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Review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Syllabus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and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Classroom Expectations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Get to Know you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up File folders in U Drive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Ice Breaker Bingo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Bring Back signed copy of Classroom Expectations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B1, C10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Work on Employability Skills Project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Research Employability Skills and Begin creating 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identify employability skills and create a PPT of skills.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B1, C10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 on Employability Skills Project 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1"/>
              </w:numPr>
              <w:spacing w:line="259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Finish PPT and create Flipbook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PPT about Employability skills and turn PPT into Flipsnac.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InefkUGz7nBdNkeGOX2JKJBEmmSFsAFU/edit?usp=drive_link&amp;ouid=101201616420763768277&amp;rtpof=true&amp;sd=true" TargetMode="External"/><Relationship Id="rId8" Type="http://schemas.openxmlformats.org/officeDocument/2006/relationships/hyperlink" Target="https://docs.google.com/document/d/1xzZJB8tHmGub2-BO--G-yrUJYrt_7cVo/edit?usp=drive_link&amp;ouid=101201616420763768277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2Jwy9Hu2yHZ/bDcUi2wU0jSN/A==">CgMxLjAyCGguZ2pkZ3hzOAByITFlT3V2SUFlZC1hbnN3dUxfRUdJUGdiMS0zMVl6NE50MQ==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