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April 13-17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Unselfish Report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Report formatting in Word and take notes over a video.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Integration Parts 1 and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Skill Review 3 Training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Report over Chasing Failure Notes.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Integration Part 3 and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Skill Review 3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Report over Chasing Failure Notes.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Integration Part 5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Skill Review 3 Training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organize binders and demonstrate their Word Skills.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MLA Writing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Update Unselfish Report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organize binders and demonstrate their Word Skills.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FdbS3t0BXbtfIwH8hPOVKxtlw==">CgMxLjA4AHIhMUZ3cUxVY2hZaGptWUx3Z2dVTjNDSW51N240RDBHWTZE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