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5th Six Week Lesson Plan for Advanced Floral &amp; Practicum 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Unit Overview: This unit explores cultural enrichment, advanced floral design techniques, industry-based certifications, and applied skills. Students will enhance creative expression, technical skills, historical awareness, and industry knowledge through projects, digital design, and practical floral demonstrations.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Week 1: Mardi Gras History &amp; Cultural Application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Objectives: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Explore the history and cultural significance of Mardi Gras.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Apply creativity to floral-themed Mardi Gras designs.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Activities: Day 1: The Real Truth of Mardi Gras – History and Quiz Day 2-3: Mardi Gras Reading Passage and Worksheet Day 4: Mardi Gras Parade History Passage and Summary Day 5: Mardi Gras Parade 3D Flyer Mock-Up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TEKS Alignment: (3)(D) – Identify historical and cultural influences in floral design. (4)(C) – Apply creativity in floral industry products.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Week 2: Digital Design &amp; Floral Techniques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Objectives: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Demonstrate skills in digital floral-themed design.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Practice advanced floral wiring techniques.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Activities: Day 1-2: Mardi Gras Mask Digital Design Day 3: Mardi Gras Mask Digital Design Due Day 4: Floral Wiring Demonstrations Day 5: Floral Wiring Techniques Practice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TEKS Alignment: (5)(A) – Demonstrate advanced floral techniques. (6)(B) – Employ technology skills in floral design and marketing.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Week 3: Monthly Floral Design &amp; Processing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Objectives: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Apply monthly floral design practices.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Reflect on and document floral design processes.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Activities: Day 1: Monthly Design Processing Day Day 2: Design Day 1 Day 3: Journal and Reflection Day 4: Flower Tattoo Practice Day 5: Cooler Clean-Out &amp; Self-Design Day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TEKS Alignment: (4)(A) – Practice daily tasks in floral design management. (5)(B) – Reflect on and document floral design processes.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Week 4: Plant Knowledge &amp; Creative Application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Objectives: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Deepen plant knowledge through creative competition and assignments.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Activities: Day 1: St. Patrick’s Day History Passage &amp; Vibe Check-In Day 2: March Madness Plant Edition Bracket &amp; Trading Cards Day 3: March Madness Plant Dream Team Worksheet Day 4: March Madness Color Theory Assignment Day 5: Catch-Up Friday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TEKS Alignment: (2)(C) – Analyze and utilize plant material effectively. (3)(C) – Apply color theory and design principles.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Week 5: Industry Certification Preparation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Objectives: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Prepare for industry-based certification through historical knowledge and floral identification.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Activities: Day 1-4: History of Floral Design and Identification Sections (Certification Prep) Day 5: History of FD and Identification Sections Due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TEKS Alignment: (7)(A) – Prepare for industry certification and assessments. (3)(D) – Demonstrate knowledge of floral history and trends.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Week 6: Principles, Elements &amp; Geometry in Floral Design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Objectives: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Master principles, elements, and geometry relevant to floral design.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Activities: Day 1-4: Principles &amp; Elements of Floral Design, Geometry Sections (Certification Prep) Day 5: Principles &amp; Elements, Geometry Sections Due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TEKS Alignment: (3)(A-B) – Apply and evaluate floral design elements, principles, and geometry. (7)(A) – Prepare effectively for industry certifications.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Assessment and Evaluation: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Mardi Gras Digital and Practical Projects (Weeks 1-2)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Monthly Floral Design Reflection Journal (Week 3)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March Madness Plant and Color Theory Assignments (Week 4)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Industry Certification Sections and Tests (Weeks 5-6)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